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D2" w:rsidRPr="00B52D24" w:rsidRDefault="009406D2" w:rsidP="00B5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267B4" wp14:editId="6D811325">
            <wp:extent cx="5940425" cy="1554234"/>
            <wp:effectExtent l="0" t="0" r="3175" b="8255"/>
            <wp:docPr id="3" name="Рисунок 3" descr="C:\Users\ierusalimceva\Desktop\скан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ierusalimceva\Desktop\скан\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D2" w:rsidRPr="00B52D24" w:rsidRDefault="009406D2" w:rsidP="00B5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6D2" w:rsidRPr="00B52D24" w:rsidRDefault="009406D2" w:rsidP="00B52D24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29120"/>
          <w:kern w:val="36"/>
          <w:sz w:val="24"/>
          <w:szCs w:val="24"/>
          <w:lang w:eastAsia="ru-RU"/>
        </w:rPr>
      </w:pPr>
      <w:r w:rsidRPr="00B52D24">
        <w:rPr>
          <w:rFonts w:ascii="Times New Roman" w:eastAsia="Times New Roman" w:hAnsi="Times New Roman" w:cs="Times New Roman"/>
          <w:b/>
          <w:bCs/>
          <w:color w:val="F29120"/>
          <w:kern w:val="36"/>
          <w:sz w:val="24"/>
          <w:szCs w:val="24"/>
          <w:lang w:eastAsia="ru-RU"/>
        </w:rPr>
        <w:t xml:space="preserve">О программе </w:t>
      </w:r>
    </w:p>
    <w:p w:rsidR="009406D2" w:rsidRPr="00681C6D" w:rsidRDefault="009406D2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Осознавая роль правильного питания в поддержании здоровья подрастающего поколения, компания «Нестле Россия» в 1999 году приняла решение о создании и внедрении специальной обучающей программы для детей и подростков — «Разговор о правильном питании».</w:t>
      </w:r>
    </w:p>
    <w:p w:rsidR="00B52D24" w:rsidRPr="00681C6D" w:rsidRDefault="00B52D24" w:rsidP="00B52D24">
      <w:pPr>
        <w:tabs>
          <w:tab w:val="left" w:pos="851"/>
          <w:tab w:val="left" w:pos="1134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06D2" w:rsidRPr="0068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была разработана в Институте возрастной физиологии Российской Академии Образования. Руководитель авторског</w:t>
      </w:r>
      <w:bookmarkStart w:id="0" w:name="_GoBack"/>
      <w:bookmarkEnd w:id="0"/>
      <w:r w:rsidR="009406D2" w:rsidRPr="0068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коллектива — директор Института, академик Российской Академии Образования Российской Федерации М. М. </w:t>
      </w:r>
      <w:proofErr w:type="gramStart"/>
      <w:r w:rsidR="009406D2" w:rsidRPr="00681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="009406D2" w:rsidRPr="00681C6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Консультационную поддержку программе оказывает Институт питания РАМН. Внедрение и работа программы осуществляется при поддержке Министерства образования и науки РФ, а также региональных управлений и департаментов образования.</w:t>
      </w:r>
      <w:r w:rsidRPr="0068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образования и науки РФ рекомендовало всем региональным структурам управления образования России использовать опыт «Разговора о правильном питании» в своей работе (Инструктивное письмо N 06-1581 от 22/10/2007; № 06-368 от 01.03.2011; № 08-641 от 30.04.2015).</w:t>
      </w:r>
    </w:p>
    <w:p w:rsidR="00B52D24" w:rsidRPr="00681C6D" w:rsidRDefault="00B52D24" w:rsidP="00B52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достоинством программы является тот факт, что участие в ней детей и подростков меняет их поведение и способствует совершенствованию питания в их семьях, а также позволяет эффективно формировать полезные навыки и привычки, связанные с правильным питанием и заботой о собственном здоровье.</w:t>
      </w:r>
    </w:p>
    <w:p w:rsidR="009406D2" w:rsidRPr="00681C6D" w:rsidRDefault="009406D2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24" w:rsidRPr="00B52D24" w:rsidRDefault="00B52D24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406D2" w:rsidRPr="00B52D24" w:rsidRDefault="009406D2" w:rsidP="00B5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273779" wp14:editId="4987EF9A">
            <wp:extent cx="5940425" cy="3346369"/>
            <wp:effectExtent l="0" t="0" r="3175" b="6985"/>
            <wp:docPr id="21" name="Рисунок 21" descr="C:\Users\ierusalimceva\Desktop\скан\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C:\Users\ierusalimceva\Desktop\скан\1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D2" w:rsidRPr="00B52D24" w:rsidRDefault="00681C6D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hyperlink r:id="rId8" w:history="1">
        <w:r w:rsidR="009406D2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9406D2" w:rsidRPr="00B52D2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="009406D2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9406D2" w:rsidRPr="00B52D2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9406D2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proofErr w:type="spellEnd"/>
        <w:r w:rsidR="009406D2" w:rsidRPr="00B52D2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="009406D2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="009406D2" w:rsidRPr="00B52D2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9406D2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406D2" w:rsidRPr="00B52D2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9406D2" w:rsidRPr="00B52D24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</w:t>
      </w:r>
    </w:p>
    <w:p w:rsidR="00597AEB" w:rsidRPr="00272801" w:rsidRDefault="00597AEB" w:rsidP="00B5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D24" w:rsidRPr="00B52D24" w:rsidRDefault="00B52D24" w:rsidP="00B5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D24"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программы используется три учебно-методических комплекта,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52D24">
        <w:rPr>
          <w:rFonts w:ascii="Times New Roman" w:eastAsia="Times New Roman" w:hAnsi="Times New Roman" w:cs="Times New Roman"/>
          <w:sz w:val="24"/>
          <w:szCs w:val="24"/>
        </w:rPr>
        <w:t xml:space="preserve"> помощью </w:t>
      </w:r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B52D24">
        <w:rPr>
          <w:rFonts w:ascii="Times New Roman" w:eastAsia="Times New Roman" w:hAnsi="Times New Roman" w:cs="Times New Roman"/>
          <w:sz w:val="24"/>
          <w:szCs w:val="24"/>
        </w:rPr>
        <w:t xml:space="preserve"> можно эффективно и легко организовать обучение правильному питанию детей в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, и о</w:t>
      </w:r>
      <w:r w:rsidRPr="00B52D24">
        <w:rPr>
          <w:rFonts w:ascii="Times New Roman" w:hAnsi="Times New Roman" w:cs="Times New Roman"/>
          <w:sz w:val="24"/>
          <w:szCs w:val="24"/>
        </w:rPr>
        <w:t>риентированных на разные возрастные группы учащихся:</w:t>
      </w:r>
    </w:p>
    <w:p w:rsidR="00B52D24" w:rsidRPr="00B52D24" w:rsidRDefault="00B52D24" w:rsidP="00B5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24">
        <w:rPr>
          <w:rFonts w:ascii="Times New Roman" w:hAnsi="Times New Roman" w:cs="Times New Roman"/>
          <w:sz w:val="24"/>
          <w:szCs w:val="24"/>
        </w:rPr>
        <w:t>•</w:t>
      </w:r>
      <w:r w:rsidRPr="00B52D24">
        <w:rPr>
          <w:rFonts w:ascii="Times New Roman" w:hAnsi="Times New Roman" w:cs="Times New Roman"/>
          <w:sz w:val="24"/>
          <w:szCs w:val="24"/>
        </w:rPr>
        <w:tab/>
        <w:t>«Разговор о правильном питании» для детей 6-8 лет (рабочая тетрадь для школьников, методическое пособие для педагога, комплект плакатов, брошюра для родителей).</w:t>
      </w:r>
    </w:p>
    <w:p w:rsidR="00B52D24" w:rsidRPr="00B52D24" w:rsidRDefault="00B52D24" w:rsidP="00B5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24">
        <w:rPr>
          <w:rFonts w:ascii="Times New Roman" w:hAnsi="Times New Roman" w:cs="Times New Roman"/>
          <w:sz w:val="24"/>
          <w:szCs w:val="24"/>
        </w:rPr>
        <w:t>•</w:t>
      </w:r>
      <w:r w:rsidRPr="00B52D24">
        <w:rPr>
          <w:rFonts w:ascii="Times New Roman" w:hAnsi="Times New Roman" w:cs="Times New Roman"/>
          <w:sz w:val="24"/>
          <w:szCs w:val="24"/>
        </w:rPr>
        <w:tab/>
        <w:t>«Две недели в лагере здоровья» для детей 9-11 лет (рабочая тетрадь для школьников, методическое пособие для педагога).</w:t>
      </w:r>
    </w:p>
    <w:p w:rsidR="00B52D24" w:rsidRPr="00B52D24" w:rsidRDefault="00B52D24" w:rsidP="00B5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24">
        <w:rPr>
          <w:rFonts w:ascii="Times New Roman" w:hAnsi="Times New Roman" w:cs="Times New Roman"/>
          <w:sz w:val="24"/>
          <w:szCs w:val="24"/>
        </w:rPr>
        <w:t>•</w:t>
      </w:r>
      <w:r w:rsidRPr="00B52D24">
        <w:rPr>
          <w:rFonts w:ascii="Times New Roman" w:hAnsi="Times New Roman" w:cs="Times New Roman"/>
          <w:sz w:val="24"/>
          <w:szCs w:val="24"/>
        </w:rPr>
        <w:tab/>
        <w:t>«Формула правильного питания» для детей 12-14 лет (рабочая тетрадь для школьников, мультимедийный диск, пособие для педагога).</w:t>
      </w:r>
    </w:p>
    <w:p w:rsidR="000400DA" w:rsidRPr="00B52D24" w:rsidRDefault="000400DA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97CD07" wp14:editId="31A16A53">
            <wp:extent cx="3448050" cy="1552575"/>
            <wp:effectExtent l="0" t="0" r="0" b="9525"/>
            <wp:docPr id="1" name="Рисунок 1" descr="http://www.iro.yar.ru/fileadmin/_processed_/f/3/csm_pit-2017_1585558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o.yar.ru/fileadmin/_processed_/f/3/csm_pit-2017_15855581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24" w:rsidRDefault="00B52D24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801" w:rsidRDefault="009406D2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2012 года Ярославская область является участником программы «Разговор о правильном питании». </w:t>
      </w:r>
    </w:p>
    <w:p w:rsidR="00F647F9" w:rsidRDefault="00F647F9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272801" w:rsidRPr="00522FBF" w:rsidTr="00F647F9">
        <w:tc>
          <w:tcPr>
            <w:tcW w:w="3085" w:type="dxa"/>
          </w:tcPr>
          <w:p w:rsidR="00272801" w:rsidRDefault="00272801" w:rsidP="00B52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FE"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w:drawing>
                <wp:inline distT="0" distB="0" distL="0" distR="0" wp14:anchorId="2EB6E19E" wp14:editId="38FA375A">
                  <wp:extent cx="1299383" cy="1752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964" cy="175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vAlign w:val="center"/>
          </w:tcPr>
          <w:p w:rsidR="00272801" w:rsidRDefault="00272801" w:rsidP="0027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регионе:</w:t>
            </w:r>
            <w:r w:rsidRPr="00B5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2801" w:rsidRDefault="00272801" w:rsidP="0027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Иерусалимцева Ольга Васильевна</w:t>
            </w:r>
            <w:r w:rsidRPr="00B5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2801" w:rsidRDefault="00272801" w:rsidP="0027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кафедры физической культуры и безопасности жизнедеятельности </w:t>
            </w:r>
          </w:p>
          <w:p w:rsidR="00272801" w:rsidRDefault="00272801" w:rsidP="0027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«Институт развития образования».</w:t>
            </w:r>
          </w:p>
          <w:p w:rsidR="00272801" w:rsidRPr="00272801" w:rsidRDefault="00272801" w:rsidP="00272801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Email: </w:t>
            </w:r>
            <w:r w:rsidRPr="002728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ierusalimceva@iro.yar.ru</w:t>
            </w:r>
          </w:p>
          <w:p w:rsidR="00272801" w:rsidRPr="00272801" w:rsidRDefault="00272801" w:rsidP="00272801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2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2728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(4852) 23-09-67; 8-910-974-33-07</w:t>
            </w:r>
          </w:p>
          <w:p w:rsidR="00272801" w:rsidRPr="00272801" w:rsidRDefault="00272801" w:rsidP="0027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72801" w:rsidRPr="00272801" w:rsidRDefault="00272801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06D2" w:rsidRDefault="009406D2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</w:t>
      </w:r>
      <w:r w:rsidR="00F647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«Разговор о правильном питании»</w:t>
      </w:r>
      <w:r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рамках регионального методического объединения координаторов </w:t>
      </w:r>
      <w:r w:rsidRPr="00B52D2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питания «ПИТ» </w:t>
      </w:r>
      <w:hyperlink r:id="rId11" w:history="1"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iro</w:t>
        </w:r>
        <w:proofErr w:type="spellEnd"/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yar</w:t>
        </w:r>
        <w:proofErr w:type="spellEnd"/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index</w:t>
        </w:r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php</w:t>
        </w:r>
        <w:proofErr w:type="spellEnd"/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id</w:t>
        </w:r>
        <w:r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=2649</w:t>
        </w:r>
      </w:hyperlink>
      <w:r w:rsidR="000400DA" w:rsidRPr="00B52D2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</w:p>
    <w:p w:rsidR="00AE69BF" w:rsidRPr="00B52D24" w:rsidRDefault="00B52D24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годом количество </w:t>
      </w:r>
      <w:proofErr w:type="gramStart"/>
      <w:r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познакомившихся с программой стремительно растёт</w:t>
      </w:r>
      <w:proofErr w:type="gramEnd"/>
      <w:r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="00AE69BF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году обеспечено методическими пособиями  6200 учащихся ОО ЯО</w:t>
      </w:r>
      <w:r w:rsidR="000400DA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AE69BF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  <w:r w:rsidR="000400DA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AE69BF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26000 </w:t>
      </w:r>
      <w:r w:rsidR="000400DA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2014 – 5000, </w:t>
      </w:r>
      <w:r w:rsidR="00AE69BF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2017 – 9</w:t>
      </w:r>
      <w:r w:rsidR="000400DA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69BF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0400DA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69BF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– 16</w:t>
      </w:r>
      <w:r w:rsidR="000400DA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69BF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0400DA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2019 </w:t>
      </w:r>
      <w:r w:rsidR="002728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400DA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59705, </w:t>
      </w:r>
      <w:r w:rsidR="00522FBF">
        <w:rPr>
          <w:rFonts w:ascii="Times New Roman" w:eastAsia="Times New Roman" w:hAnsi="Times New Roman" w:cs="Times New Roman"/>
          <w:sz w:val="24"/>
          <w:szCs w:val="24"/>
          <w:lang w:eastAsia="ru-RU"/>
        </w:rPr>
        <w:t>2020 – 45 000,</w:t>
      </w:r>
      <w:r w:rsidR="0027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 - 39860. </w:t>
      </w:r>
      <w:r w:rsidR="00522FBF"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 и 101 000 детей Ярославской области в возрасте от 6 лет до 14 лет обеспечено учебно-методическими пособиями, 2 550 педагогов - методическими пособиями; выдано 33 000 </w:t>
      </w:r>
      <w:proofErr w:type="spellStart"/>
      <w:r w:rsidR="00522FBF"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лифлетов</w:t>
      </w:r>
      <w:proofErr w:type="spellEnd"/>
      <w:r w:rsidR="00522FBF"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и 3 450 плакатов о правильном питании)</w:t>
      </w:r>
      <w:r w:rsidR="00522FBF"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FBF" w:rsidRPr="002710B4" w:rsidRDefault="00522FBF" w:rsidP="00271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2022 году из 15 МР ЯО образовательные организации Ярославской области обеспечены УМК в полном объеме и 1 МР (г.Ярославль)-  частично, не обеспечены 3 МР: </w:t>
      </w:r>
      <w:proofErr w:type="spellStart"/>
      <w:r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Брейтовский</w:t>
      </w:r>
      <w:proofErr w:type="spellEnd"/>
      <w:r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Любимский</w:t>
      </w:r>
      <w:proofErr w:type="spellEnd"/>
      <w:r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Некрасовский. Следовательно, более 40 000 познакомились с программой, соответственно более 2 500 педагогов работают по данной программе. Все муниципальные районы Ярославской области участвуют в программе, особенно активны: </w:t>
      </w:r>
      <w:proofErr w:type="spellStart"/>
      <w:r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Даниловский</w:t>
      </w:r>
      <w:proofErr w:type="spellEnd"/>
      <w:r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Первомайский, </w:t>
      </w:r>
      <w:proofErr w:type="spellStart"/>
      <w:r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Переславский</w:t>
      </w:r>
      <w:proofErr w:type="spellEnd"/>
      <w:r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271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FBF" w:rsidRDefault="00522FBF" w:rsidP="00522FB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1327C95" wp14:editId="68E24A00">
            <wp:simplePos x="0" y="0"/>
            <wp:positionH relativeFrom="column">
              <wp:posOffset>110490</wp:posOffset>
            </wp:positionH>
            <wp:positionV relativeFrom="paragraph">
              <wp:posOffset>137795</wp:posOffset>
            </wp:positionV>
            <wp:extent cx="5886450" cy="2771775"/>
            <wp:effectExtent l="0" t="0" r="19050" b="952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 1. Обеспечено детей учебно-методическими пособиями в период с 2012 года до 2022 года.</w:t>
      </w:r>
    </w:p>
    <w:p w:rsidR="00B52D24" w:rsidRPr="00B52D24" w:rsidRDefault="00B52D24" w:rsidP="00B52D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52D24">
        <w:rPr>
          <w:rFonts w:ascii="Times New Roman" w:hAnsi="Times New Roman" w:cs="Times New Roman"/>
          <w:bCs/>
          <w:sz w:val="24"/>
          <w:szCs w:val="24"/>
          <w:u w:val="single"/>
        </w:rPr>
        <w:t>Реализуя программу «Разговор о правильном питании» в Ярославской области, педагоги отмечают следующее:</w:t>
      </w:r>
    </w:p>
    <w:p w:rsidR="00B52D24" w:rsidRPr="00B52D24" w:rsidRDefault="00B52D24" w:rsidP="00B52D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D24">
        <w:rPr>
          <w:rFonts w:ascii="Times New Roman" w:hAnsi="Times New Roman" w:cs="Times New Roman"/>
          <w:bCs/>
          <w:sz w:val="24"/>
          <w:szCs w:val="24"/>
        </w:rPr>
        <w:t xml:space="preserve">Благодаря программе расширилось представление детей о различных аспектах правильного питания: режиме дня, рационе, полезных продуктах и блюдах, правилах поведения во время еды. </w:t>
      </w:r>
    </w:p>
    <w:p w:rsidR="00B52D24" w:rsidRPr="00B52D24" w:rsidRDefault="00B52D24" w:rsidP="00B52D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D24">
        <w:rPr>
          <w:rFonts w:ascii="Times New Roman" w:hAnsi="Times New Roman" w:cs="Times New Roman"/>
          <w:bCs/>
          <w:sz w:val="24"/>
          <w:szCs w:val="24"/>
        </w:rPr>
        <w:t xml:space="preserve">У школьников изменилось отношение к различным продуктам и блюдам. </w:t>
      </w:r>
    </w:p>
    <w:p w:rsidR="00B52D24" w:rsidRPr="00B52D24" w:rsidRDefault="00B52D24" w:rsidP="00B52D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D24">
        <w:rPr>
          <w:rFonts w:ascii="Times New Roman" w:hAnsi="Times New Roman" w:cs="Times New Roman"/>
          <w:bCs/>
          <w:sz w:val="24"/>
          <w:szCs w:val="24"/>
        </w:rPr>
        <w:t xml:space="preserve">Увеличилось число школьников, оценивающих полезные продукты и блюда как «любимые». </w:t>
      </w:r>
    </w:p>
    <w:p w:rsidR="00B52D24" w:rsidRPr="00B52D24" w:rsidRDefault="00B52D24" w:rsidP="00B52D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D24">
        <w:rPr>
          <w:rFonts w:ascii="Times New Roman" w:hAnsi="Times New Roman" w:cs="Times New Roman"/>
          <w:bCs/>
          <w:sz w:val="24"/>
          <w:szCs w:val="24"/>
        </w:rPr>
        <w:t xml:space="preserve">Родители отмечают изменения в поведении детей, связанные с питанием: школьники стали соблюдать режим, выбирать полезные продукты и блюда, соблюдать правила этикета. </w:t>
      </w:r>
    </w:p>
    <w:p w:rsidR="00B52D24" w:rsidRPr="00B52D24" w:rsidRDefault="00B52D24" w:rsidP="00B52D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D24">
        <w:rPr>
          <w:rFonts w:ascii="Times New Roman" w:hAnsi="Times New Roman" w:cs="Times New Roman"/>
          <w:bCs/>
          <w:sz w:val="24"/>
          <w:szCs w:val="24"/>
        </w:rPr>
        <w:t xml:space="preserve">Дети и родители оценивают программу как очень полезную и интересную и хотели бы продолжить ее изучение в дальнейшем. </w:t>
      </w:r>
    </w:p>
    <w:p w:rsidR="00B52D24" w:rsidRPr="00B52D24" w:rsidRDefault="00B52D24" w:rsidP="00B52D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D24">
        <w:rPr>
          <w:rFonts w:ascii="Times New Roman" w:hAnsi="Times New Roman" w:cs="Times New Roman"/>
          <w:bCs/>
          <w:sz w:val="24"/>
          <w:szCs w:val="24"/>
        </w:rPr>
        <w:t xml:space="preserve">Родители считают, что программа оказалась полезной для их детей, а также, что программа помогла им в организации питания в семье. </w:t>
      </w:r>
    </w:p>
    <w:p w:rsidR="00B52D24" w:rsidRPr="00B52D24" w:rsidRDefault="002710B4" w:rsidP="002710B4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2D24" w:rsidRPr="00B52D24">
        <w:rPr>
          <w:rFonts w:ascii="Times New Roman" w:hAnsi="Times New Roman" w:cs="Times New Roman"/>
          <w:sz w:val="24"/>
          <w:szCs w:val="24"/>
        </w:rPr>
        <w:t>Анализируя вышесказанное, можно сделать выводы о том, что программа «Разговор о правильном питании» уникальная образовательная программа в формировании культуры питания детей дошкольного и школьного возраста.</w:t>
      </w:r>
    </w:p>
    <w:p w:rsidR="009406D2" w:rsidRPr="00B52D24" w:rsidRDefault="009406D2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стать участником программы необходимо руководителю образовательной организации сделать заявку в свободной форме представителю управления образования МР ЯО (куратору питания), курирующие вопросы питания в ОО и ДОО для с</w:t>
      </w:r>
      <w:r w:rsidR="000400DA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 общей сводной заявки по МР (</w:t>
      </w:r>
      <w:r w:rsidR="000400DA" w:rsidRPr="00B52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</w:t>
      </w:r>
      <w:r w:rsidR="000400DA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iro</w:t>
        </w:r>
        <w:proofErr w:type="spellEnd"/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yar</w:t>
        </w:r>
        <w:proofErr w:type="spellEnd"/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index</w:t>
        </w:r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php</w:t>
        </w:r>
        <w:proofErr w:type="spellEnd"/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id</w:t>
        </w:r>
        <w:r w:rsidR="000400DA" w:rsidRPr="00B52D2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=2649</w:t>
        </w:r>
      </w:hyperlink>
      <w:r w:rsidR="000400DA" w:rsidRPr="00B52D2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). </w:t>
      </w:r>
      <w:r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координатор проекта «Разговор о правильном питании» </w:t>
      </w:r>
      <w:r w:rsidR="000400DA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Иерусалимцева Ольга Васильевна </w:t>
      </w:r>
      <w:r w:rsidR="00B9560C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общую заявку</w:t>
      </w:r>
      <w:r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B9560C"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А.Г. Макеевой. </w:t>
      </w:r>
    </w:p>
    <w:p w:rsidR="00761EE8" w:rsidRPr="002710B4" w:rsidRDefault="00522FBF" w:rsidP="0027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0B4">
        <w:rPr>
          <w:rFonts w:ascii="Times New Roman" w:hAnsi="Times New Roman" w:cs="Times New Roman"/>
          <w:sz w:val="24"/>
          <w:szCs w:val="24"/>
        </w:rPr>
        <w:t>Ежегодно</w:t>
      </w:r>
      <w:r w:rsidR="00761EE8" w:rsidRPr="00B52D24">
        <w:rPr>
          <w:rFonts w:ascii="Times New Roman" w:hAnsi="Times New Roman" w:cs="Times New Roman"/>
          <w:sz w:val="24"/>
          <w:szCs w:val="24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61EE8" w:rsidRPr="00B52D24">
        <w:rPr>
          <w:rFonts w:ascii="Times New Roman" w:hAnsi="Times New Roman" w:cs="Times New Roman"/>
          <w:sz w:val="24"/>
          <w:szCs w:val="24"/>
        </w:rPr>
        <w:t xml:space="preserve">ся  </w:t>
      </w:r>
      <w:r w:rsidR="00761EE8" w:rsidRPr="002710B4">
        <w:rPr>
          <w:rFonts w:ascii="Times New Roman" w:hAnsi="Times New Roman" w:cs="Times New Roman"/>
          <w:b/>
          <w:sz w:val="24"/>
          <w:szCs w:val="24"/>
        </w:rPr>
        <w:t>Региональный тур Всероссийского конкурса методик реализации программы «Разговор о правильном питании»</w:t>
      </w:r>
      <w:r w:rsidR="002710B4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2710B4" w:rsidRPr="002710B4">
          <w:rPr>
            <w:rStyle w:val="a5"/>
            <w:rFonts w:ascii="Times New Roman" w:hAnsi="Times New Roman" w:cs="Times New Roman"/>
            <w:sz w:val="20"/>
            <w:szCs w:val="20"/>
          </w:rPr>
          <w:t>http://www.iro.yar.ru/index.php?id=5059</w:t>
        </w:r>
      </w:hyperlink>
      <w:r w:rsidR="002710B4">
        <w:rPr>
          <w:rFonts w:ascii="Times New Roman" w:hAnsi="Times New Roman" w:cs="Times New Roman"/>
          <w:sz w:val="20"/>
          <w:szCs w:val="20"/>
        </w:rPr>
        <w:t xml:space="preserve">). </w:t>
      </w:r>
      <w:r w:rsidR="00761EE8" w:rsidRPr="002710B4">
        <w:rPr>
          <w:rFonts w:ascii="Times New Roman" w:hAnsi="Times New Roman" w:cs="Times New Roman"/>
          <w:sz w:val="24"/>
          <w:szCs w:val="24"/>
        </w:rPr>
        <w:t xml:space="preserve"> Конкурс является региональным туром Всероссийского конкурса методик реализации программы «Разговор о правильном питании», организаторами которого являются ГАУ ДПО ЯО «Институт развития образования». На основании анализа работ региональных победителей определяются участники Всероссийского тура, организаторами которого являются ФГБНУ Институт возрастной физиологии </w:t>
      </w:r>
      <w:r w:rsidR="002710B4" w:rsidRPr="002710B4">
        <w:rPr>
          <w:rFonts w:ascii="Times New Roman" w:hAnsi="Times New Roman" w:cs="Times New Roman"/>
          <w:sz w:val="24"/>
          <w:szCs w:val="24"/>
        </w:rPr>
        <w:t xml:space="preserve">Российской Академии Образования. </w:t>
      </w:r>
      <w:r w:rsidR="00131FE5" w:rsidRPr="002710B4">
        <w:rPr>
          <w:rFonts w:ascii="Times New Roman" w:hAnsi="Times New Roman" w:cs="Times New Roman"/>
          <w:sz w:val="24"/>
          <w:szCs w:val="24"/>
        </w:rPr>
        <w:t>Победитель регионального этапа и заочного межрегионального тура представля</w:t>
      </w:r>
      <w:r w:rsidR="00F647F9" w:rsidRPr="002710B4">
        <w:rPr>
          <w:rFonts w:ascii="Times New Roman" w:hAnsi="Times New Roman" w:cs="Times New Roman"/>
          <w:sz w:val="24"/>
          <w:szCs w:val="24"/>
        </w:rPr>
        <w:t>ет</w:t>
      </w:r>
      <w:r w:rsidR="00131FE5" w:rsidRPr="002710B4">
        <w:rPr>
          <w:rFonts w:ascii="Times New Roman" w:hAnsi="Times New Roman" w:cs="Times New Roman"/>
          <w:sz w:val="24"/>
          <w:szCs w:val="24"/>
        </w:rPr>
        <w:t xml:space="preserve"> Ярославскую область на межрегиональном </w:t>
      </w:r>
      <w:r w:rsidR="00131FE5" w:rsidRPr="002710B4">
        <w:rPr>
          <w:rFonts w:ascii="Times New Roman" w:hAnsi="Times New Roman" w:cs="Times New Roman"/>
          <w:sz w:val="24"/>
          <w:szCs w:val="24"/>
        </w:rPr>
        <w:lastRenderedPageBreak/>
        <w:t>очном туре, проводимом в рамках Международной конференции «Воспитываем здоровое поколение» в г. Москве.</w:t>
      </w:r>
    </w:p>
    <w:p w:rsidR="00086DC8" w:rsidRPr="00B52D24" w:rsidRDefault="00B52D24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Ярославской области и</w:t>
      </w:r>
      <w:r w:rsidRPr="00B52D24">
        <w:rPr>
          <w:rFonts w:ascii="Times New Roman" w:hAnsi="Times New Roman" w:cs="Times New Roman"/>
          <w:sz w:val="24"/>
          <w:szCs w:val="24"/>
        </w:rPr>
        <w:t xml:space="preserve">нформационную и методическую поддержку педагогам образовательных организаций в области формирования у детей представления о необходимости заботы о своем здоровье, о важности правильного питания, как составной части сохранения и укрепления здоровья оказывает участие </w:t>
      </w:r>
      <w:proofErr w:type="gramStart"/>
      <w:r w:rsidRPr="00B52D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2D24">
        <w:rPr>
          <w:rFonts w:ascii="Times New Roman" w:hAnsi="Times New Roman" w:cs="Times New Roman"/>
          <w:sz w:val="24"/>
          <w:szCs w:val="24"/>
        </w:rPr>
        <w:t xml:space="preserve"> Всероссийской образовательной программы «Разговор о правильном питании».</w:t>
      </w:r>
    </w:p>
    <w:p w:rsidR="00086DC8" w:rsidRPr="00B52D24" w:rsidRDefault="00086DC8" w:rsidP="00B5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7F9" w:rsidRDefault="00F647F9" w:rsidP="00B52D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6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F00"/>
    <w:multiLevelType w:val="multilevel"/>
    <w:tmpl w:val="0628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C22E0"/>
    <w:multiLevelType w:val="multilevel"/>
    <w:tmpl w:val="3DF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C2A38"/>
    <w:multiLevelType w:val="hybridMultilevel"/>
    <w:tmpl w:val="A4389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08"/>
    <w:rsid w:val="000400DA"/>
    <w:rsid w:val="00086DC8"/>
    <w:rsid w:val="000E07D9"/>
    <w:rsid w:val="00131FE5"/>
    <w:rsid w:val="002710B4"/>
    <w:rsid w:val="00272801"/>
    <w:rsid w:val="003F0ACB"/>
    <w:rsid w:val="00522FBF"/>
    <w:rsid w:val="00554AE9"/>
    <w:rsid w:val="00597AEB"/>
    <w:rsid w:val="005E7108"/>
    <w:rsid w:val="00681C6D"/>
    <w:rsid w:val="00761EE8"/>
    <w:rsid w:val="009406D2"/>
    <w:rsid w:val="00AE69BF"/>
    <w:rsid w:val="00B52D24"/>
    <w:rsid w:val="00B9560C"/>
    <w:rsid w:val="00E34575"/>
    <w:rsid w:val="00F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6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406D2"/>
    <w:rPr>
      <w:color w:val="0000FF"/>
      <w:u w:val="single"/>
    </w:rPr>
  </w:style>
  <w:style w:type="paragraph" w:customStyle="1" w:styleId="bodytext">
    <w:name w:val="bodytext"/>
    <w:basedOn w:val="a"/>
    <w:rsid w:val="0076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2D24"/>
    <w:pPr>
      <w:spacing w:after="160" w:line="256" w:lineRule="auto"/>
      <w:ind w:left="720"/>
      <w:contextualSpacing/>
    </w:pPr>
  </w:style>
  <w:style w:type="table" w:styleId="a7">
    <w:name w:val="Table Grid"/>
    <w:basedOn w:val="a1"/>
    <w:uiPriority w:val="59"/>
    <w:rsid w:val="0027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31F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6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406D2"/>
    <w:rPr>
      <w:color w:val="0000FF"/>
      <w:u w:val="single"/>
    </w:rPr>
  </w:style>
  <w:style w:type="paragraph" w:customStyle="1" w:styleId="bodytext">
    <w:name w:val="bodytext"/>
    <w:basedOn w:val="a"/>
    <w:rsid w:val="0076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2D24"/>
    <w:pPr>
      <w:spacing w:after="160" w:line="256" w:lineRule="auto"/>
      <w:ind w:left="720"/>
      <w:contextualSpacing/>
    </w:pPr>
  </w:style>
  <w:style w:type="table" w:styleId="a7">
    <w:name w:val="Table Grid"/>
    <w:basedOn w:val="a1"/>
    <w:uiPriority w:val="59"/>
    <w:rsid w:val="0027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31F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-pit.ru/" TargetMode="External"/><Relationship Id="rId13" Type="http://schemas.openxmlformats.org/officeDocument/2006/relationships/hyperlink" Target="http://www.iro.yar.ru/index.php?id=264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ro.yar.ru/index.php?id=26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iro.yar.ru/index.php?id=505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Выдано УМК для детей</a:t>
            </a:r>
          </a:p>
          <a:p>
            <a:pPr>
              <a:defRPr/>
            </a:pPr>
            <a:r>
              <a:rPr lang="ru-RU" sz="1400"/>
              <a:t>в возрасте от 6 до 14 лет</a:t>
            </a:r>
          </a:p>
        </c:rich>
      </c:tx>
      <c:layout>
        <c:manualLayout>
          <c:xMode val="edge"/>
          <c:yMode val="edge"/>
          <c:x val="2.5989465647884079E-4"/>
          <c:y val="2.838912877825755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9463287789114281E-2"/>
          <c:y val="3.7273427406288272E-2"/>
          <c:w val="0.90238559998090184"/>
          <c:h val="0.897180582371216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УМК для детей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6200</c:v>
                </c:pt>
                <c:pt idx="1">
                  <c:v>26000</c:v>
                </c:pt>
                <c:pt idx="2">
                  <c:v>5000</c:v>
                </c:pt>
                <c:pt idx="3">
                  <c:v>9000</c:v>
                </c:pt>
                <c:pt idx="4">
                  <c:v>16000</c:v>
                </c:pt>
                <c:pt idx="5">
                  <c:v>59705</c:v>
                </c:pt>
                <c:pt idx="6">
                  <c:v>45000</c:v>
                </c:pt>
                <c:pt idx="7">
                  <c:v>39860</c:v>
                </c:pt>
                <c:pt idx="8" formatCode="#,##0">
                  <c:v>101000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МП для педагогов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310</c:v>
                </c:pt>
                <c:pt idx="1">
                  <c:v>520</c:v>
                </c:pt>
                <c:pt idx="2">
                  <c:v>150</c:v>
                </c:pt>
                <c:pt idx="3">
                  <c:v>300</c:v>
                </c:pt>
                <c:pt idx="4">
                  <c:v>650</c:v>
                </c:pt>
                <c:pt idx="5">
                  <c:v>700</c:v>
                </c:pt>
                <c:pt idx="6">
                  <c:v>800</c:v>
                </c:pt>
                <c:pt idx="7">
                  <c:v>1500</c:v>
                </c:pt>
                <c:pt idx="8">
                  <c:v>2550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Лифлеты для родителей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200</c:v>
                </c:pt>
                <c:pt idx="4">
                  <c:v>1000</c:v>
                </c:pt>
                <c:pt idx="5">
                  <c:v>3000</c:v>
                </c:pt>
                <c:pt idx="6">
                  <c:v>5000</c:v>
                </c:pt>
                <c:pt idx="7">
                  <c:v>20000</c:v>
                </c:pt>
                <c:pt idx="8">
                  <c:v>33000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Плакаты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100</c:v>
                </c:pt>
                <c:pt idx="1">
                  <c:v>500</c:v>
                </c:pt>
                <c:pt idx="2">
                  <c:v>500</c:v>
                </c:pt>
                <c:pt idx="3">
                  <c:v>500</c:v>
                </c:pt>
                <c:pt idx="4">
                  <c:v>800</c:v>
                </c:pt>
                <c:pt idx="5">
                  <c:v>1000</c:v>
                </c:pt>
                <c:pt idx="6">
                  <c:v>1000</c:v>
                </c:pt>
                <c:pt idx="7">
                  <c:v>1500</c:v>
                </c:pt>
                <c:pt idx="8">
                  <c:v>2200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4003372439146062"/>
          <c:y val="0.10264477064827375"/>
          <c:w val="0.14721899135615485"/>
          <c:h val="0.8212155738597191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Иерусалимцева</dc:creator>
  <cp:lastModifiedBy>О.В. Иерусалимцева</cp:lastModifiedBy>
  <cp:revision>6</cp:revision>
  <dcterms:created xsi:type="dcterms:W3CDTF">2020-12-18T09:05:00Z</dcterms:created>
  <dcterms:modified xsi:type="dcterms:W3CDTF">2023-01-12T14:13:00Z</dcterms:modified>
</cp:coreProperties>
</file>