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5FC" w:rsidRDefault="003565FC" w:rsidP="003565FC">
      <w:pPr>
        <w:rPr>
          <w:rFonts w:ascii="Times New Roman" w:hAnsi="Times New Roman" w:cs="Times New Roman"/>
          <w:b/>
          <w:sz w:val="28"/>
          <w:szCs w:val="28"/>
          <w:lang w:val="en-US"/>
        </w:rPr>
      </w:pPr>
    </w:p>
    <w:p w:rsidR="003565FC" w:rsidRPr="00691394" w:rsidRDefault="003565FC" w:rsidP="003565FC">
      <w:pPr>
        <w:pStyle w:val="a4"/>
        <w:spacing w:after="0" w:line="360" w:lineRule="auto"/>
        <w:ind w:left="0"/>
        <w:jc w:val="both"/>
        <w:rPr>
          <w:rFonts w:ascii="Times New Roman" w:hAnsi="Times New Roman" w:cs="Times New Roman"/>
          <w:color w:val="000000" w:themeColor="text1"/>
          <w:sz w:val="28"/>
          <w:szCs w:val="28"/>
          <w:lang w:val="en-US"/>
        </w:rPr>
      </w:pPr>
      <w:bookmarkStart w:id="0" w:name="_GoBack"/>
      <w:bookmarkEnd w:id="0"/>
      <w:r>
        <w:rPr>
          <w:rFonts w:ascii="Times New Roman" w:hAnsi="Times New Roman" w:cs="Times New Roman"/>
          <w:b/>
          <w:sz w:val="28"/>
          <w:szCs w:val="28"/>
        </w:rPr>
        <w:t xml:space="preserve">Источник: </w:t>
      </w:r>
      <w:proofErr w:type="spellStart"/>
      <w:r w:rsidRPr="00691394">
        <w:rPr>
          <w:rFonts w:ascii="Times New Roman" w:hAnsi="Times New Roman" w:cs="Times New Roman"/>
          <w:color w:val="000000" w:themeColor="text1"/>
          <w:sz w:val="28"/>
          <w:szCs w:val="28"/>
        </w:rPr>
        <w:t>Калаш</w:t>
      </w:r>
      <w:proofErr w:type="spellEnd"/>
      <w:r w:rsidRPr="00691394">
        <w:rPr>
          <w:rFonts w:ascii="Times New Roman" w:hAnsi="Times New Roman" w:cs="Times New Roman"/>
          <w:color w:val="000000" w:themeColor="text1"/>
          <w:sz w:val="28"/>
          <w:szCs w:val="28"/>
        </w:rPr>
        <w:t xml:space="preserve">, И. Возможности информационных и коммуникационных технологий в дошкольном образовании: </w:t>
      </w:r>
      <w:proofErr w:type="spellStart"/>
      <w:r w:rsidRPr="00691394">
        <w:rPr>
          <w:rFonts w:ascii="Times New Roman" w:hAnsi="Times New Roman" w:cs="Times New Roman"/>
          <w:color w:val="000000" w:themeColor="text1"/>
          <w:sz w:val="28"/>
          <w:szCs w:val="28"/>
        </w:rPr>
        <w:t>аналит</w:t>
      </w:r>
      <w:proofErr w:type="gramStart"/>
      <w:r w:rsidRPr="00691394">
        <w:rPr>
          <w:rFonts w:ascii="Times New Roman" w:hAnsi="Times New Roman" w:cs="Times New Roman"/>
          <w:color w:val="000000" w:themeColor="text1"/>
          <w:sz w:val="28"/>
          <w:szCs w:val="28"/>
        </w:rPr>
        <w:t>.о</w:t>
      </w:r>
      <w:proofErr w:type="gramEnd"/>
      <w:r w:rsidRPr="00691394">
        <w:rPr>
          <w:rFonts w:ascii="Times New Roman" w:hAnsi="Times New Roman" w:cs="Times New Roman"/>
          <w:color w:val="000000" w:themeColor="text1"/>
          <w:sz w:val="28"/>
          <w:szCs w:val="28"/>
        </w:rPr>
        <w:t>бзор</w:t>
      </w:r>
      <w:proofErr w:type="spellEnd"/>
      <w:r w:rsidRPr="00691394">
        <w:rPr>
          <w:rFonts w:ascii="Times New Roman" w:hAnsi="Times New Roman" w:cs="Times New Roman"/>
          <w:color w:val="000000" w:themeColor="text1"/>
          <w:sz w:val="28"/>
          <w:szCs w:val="28"/>
        </w:rPr>
        <w:t>. – Москва: Институт ЮНЕСКО по информационным технологиям в образовании, 2011. - [Электронный ресурс]. Режим</w:t>
      </w:r>
      <w:r w:rsidRPr="00691394">
        <w:rPr>
          <w:rFonts w:ascii="Times New Roman" w:hAnsi="Times New Roman" w:cs="Times New Roman"/>
          <w:color w:val="000000" w:themeColor="text1"/>
          <w:sz w:val="28"/>
          <w:szCs w:val="28"/>
          <w:lang w:val="en-US"/>
        </w:rPr>
        <w:t xml:space="preserve"> </w:t>
      </w:r>
      <w:r w:rsidRPr="00691394">
        <w:rPr>
          <w:rFonts w:ascii="Times New Roman" w:hAnsi="Times New Roman" w:cs="Times New Roman"/>
          <w:color w:val="000000" w:themeColor="text1"/>
          <w:sz w:val="28"/>
          <w:szCs w:val="28"/>
        </w:rPr>
        <w:t>доступа</w:t>
      </w:r>
      <w:r w:rsidRPr="00691394">
        <w:rPr>
          <w:rFonts w:ascii="Times New Roman" w:hAnsi="Times New Roman" w:cs="Times New Roman"/>
          <w:color w:val="000000" w:themeColor="text1"/>
          <w:sz w:val="28"/>
          <w:szCs w:val="28"/>
          <w:lang w:val="en-US"/>
        </w:rPr>
        <w:t>: htpp://iite.unesco.org/pics/publications/ru/files/3214673.pdf.</w:t>
      </w:r>
    </w:p>
    <w:p w:rsidR="003565FC" w:rsidRPr="003565FC" w:rsidRDefault="003565FC" w:rsidP="003565FC">
      <w:pPr>
        <w:rPr>
          <w:rFonts w:ascii="Times New Roman" w:hAnsi="Times New Roman" w:cs="Times New Roman"/>
          <w:b/>
          <w:sz w:val="28"/>
          <w:szCs w:val="28"/>
          <w:lang w:val="en-US"/>
        </w:rPr>
      </w:pPr>
    </w:p>
    <w:p w:rsidR="003565FC" w:rsidRPr="00691394" w:rsidRDefault="003565FC" w:rsidP="003565FC">
      <w:pPr>
        <w:rPr>
          <w:rFonts w:ascii="Times New Roman" w:hAnsi="Times New Roman" w:cs="Times New Roman"/>
          <w:b/>
          <w:sz w:val="28"/>
          <w:szCs w:val="28"/>
        </w:rPr>
      </w:pPr>
      <w:r w:rsidRPr="00691394">
        <w:rPr>
          <w:rFonts w:ascii="Times New Roman" w:hAnsi="Times New Roman" w:cs="Times New Roman"/>
          <w:b/>
          <w:sz w:val="28"/>
          <w:szCs w:val="28"/>
        </w:rPr>
        <w:t>Критерии соответствия развитию, сформулированные в проекте DATEC</w:t>
      </w:r>
    </w:p>
    <w:tbl>
      <w:tblPr>
        <w:tblStyle w:val="1"/>
        <w:tblW w:w="0" w:type="auto"/>
        <w:tblInd w:w="-147" w:type="dxa"/>
        <w:tblLook w:val="04A0" w:firstRow="1" w:lastRow="0" w:firstColumn="1" w:lastColumn="0" w:noHBand="0" w:noVBand="1"/>
      </w:tblPr>
      <w:tblGrid>
        <w:gridCol w:w="2755"/>
        <w:gridCol w:w="6737"/>
      </w:tblGrid>
      <w:tr w:rsidR="003565FC" w:rsidRPr="00691394" w:rsidTr="00BA2F2B">
        <w:tc>
          <w:tcPr>
            <w:tcW w:w="2755" w:type="dxa"/>
          </w:tcPr>
          <w:p w:rsidR="003565FC" w:rsidRPr="00691394" w:rsidRDefault="003565FC" w:rsidP="003565FC">
            <w:pPr>
              <w:numPr>
                <w:ilvl w:val="0"/>
                <w:numId w:val="1"/>
              </w:numPr>
              <w:spacing w:after="0" w:line="360" w:lineRule="auto"/>
              <w:ind w:left="306"/>
              <w:contextualSpacing/>
              <w:rPr>
                <w:rFonts w:ascii="Times New Roman" w:hAnsi="Times New Roman" w:cs="Times New Roman"/>
                <w:sz w:val="28"/>
                <w:szCs w:val="28"/>
              </w:rPr>
            </w:pPr>
            <w:r w:rsidRPr="00691394">
              <w:rPr>
                <w:rFonts w:ascii="Times New Roman" w:hAnsi="Times New Roman" w:cs="Times New Roman"/>
                <w:sz w:val="28"/>
                <w:szCs w:val="28"/>
              </w:rPr>
              <w:t>Инструменты ИКТ должны быть образовательными</w:t>
            </w:r>
          </w:p>
        </w:tc>
        <w:tc>
          <w:tcPr>
            <w:tcW w:w="6737" w:type="dxa"/>
          </w:tcPr>
          <w:p w:rsidR="003565FC" w:rsidRPr="00691394"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Инструменты, используемые в первые годы обучения детей дошкольного возраста, должны быть по природе своей образовательными, другие - исключаются.</w:t>
            </w:r>
          </w:p>
        </w:tc>
      </w:tr>
      <w:tr w:rsidR="003565FC" w:rsidRPr="00691394" w:rsidTr="00BA2F2B">
        <w:tc>
          <w:tcPr>
            <w:tcW w:w="2755" w:type="dxa"/>
          </w:tcPr>
          <w:p w:rsidR="003565FC" w:rsidRPr="00691394" w:rsidRDefault="003565FC" w:rsidP="003565FC">
            <w:pPr>
              <w:numPr>
                <w:ilvl w:val="0"/>
                <w:numId w:val="1"/>
              </w:numPr>
              <w:spacing w:after="0" w:line="360" w:lineRule="auto"/>
              <w:ind w:left="306"/>
              <w:contextualSpacing/>
              <w:rPr>
                <w:rFonts w:ascii="Times New Roman" w:hAnsi="Times New Roman" w:cs="Times New Roman"/>
                <w:sz w:val="28"/>
                <w:szCs w:val="28"/>
              </w:rPr>
            </w:pPr>
            <w:r w:rsidRPr="00691394">
              <w:rPr>
                <w:rFonts w:ascii="Times New Roman" w:hAnsi="Times New Roman" w:cs="Times New Roman"/>
                <w:sz w:val="28"/>
                <w:szCs w:val="28"/>
              </w:rPr>
              <w:t>Инструменты ИКТ должны способствовать сотрудничеству</w:t>
            </w:r>
          </w:p>
        </w:tc>
        <w:tc>
          <w:tcPr>
            <w:tcW w:w="6737" w:type="dxa"/>
          </w:tcPr>
          <w:p w:rsidR="003565FC" w:rsidRPr="00691394"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Известно, сколь важно в раннем детстве использование моделей деятельности, требующих сотрудничества. Важна также способность детей действовать как в одиночку, так и в команде, взаимодействуя с технологиями. Однако для дошкольников более плодотворным когнитивным вызовом являются выражения «общее внимание», «дети учатся делиться» и (или) «работаем сообща».</w:t>
            </w:r>
          </w:p>
        </w:tc>
      </w:tr>
      <w:tr w:rsidR="003565FC" w:rsidRPr="00691394" w:rsidTr="00BA2F2B">
        <w:tc>
          <w:tcPr>
            <w:tcW w:w="2755" w:type="dxa"/>
          </w:tcPr>
          <w:p w:rsidR="003565FC" w:rsidRPr="00691394" w:rsidRDefault="003565FC" w:rsidP="003565FC">
            <w:pPr>
              <w:numPr>
                <w:ilvl w:val="0"/>
                <w:numId w:val="1"/>
              </w:numPr>
              <w:spacing w:after="0" w:line="360" w:lineRule="auto"/>
              <w:ind w:left="306"/>
              <w:contextualSpacing/>
              <w:rPr>
                <w:rFonts w:ascii="Times New Roman" w:hAnsi="Times New Roman" w:cs="Times New Roman"/>
                <w:sz w:val="28"/>
                <w:szCs w:val="28"/>
              </w:rPr>
            </w:pPr>
            <w:r w:rsidRPr="00691394">
              <w:rPr>
                <w:rFonts w:ascii="Times New Roman" w:hAnsi="Times New Roman" w:cs="Times New Roman"/>
                <w:sz w:val="28"/>
                <w:szCs w:val="28"/>
              </w:rPr>
              <w:t>Инструменты ИКТ должны способствовать интеграции</w:t>
            </w:r>
          </w:p>
        </w:tc>
        <w:tc>
          <w:tcPr>
            <w:tcW w:w="6737" w:type="dxa"/>
          </w:tcPr>
          <w:p w:rsidR="003565FC" w:rsidRPr="003565FC"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 xml:space="preserve">Инструменты ИКТ следует как можно теснее интегрировать с другими традиционными практиками </w:t>
            </w:r>
            <w:proofErr w:type="gramStart"/>
            <w:r w:rsidRPr="00691394">
              <w:rPr>
                <w:rFonts w:ascii="Times New Roman" w:hAnsi="Times New Roman" w:cs="Times New Roman"/>
                <w:sz w:val="28"/>
                <w:szCs w:val="28"/>
              </w:rPr>
              <w:t>ДО</w:t>
            </w:r>
            <w:proofErr w:type="gramEnd"/>
            <w:r w:rsidRPr="00691394">
              <w:rPr>
                <w:rFonts w:ascii="Times New Roman" w:hAnsi="Times New Roman" w:cs="Times New Roman"/>
                <w:sz w:val="28"/>
                <w:szCs w:val="28"/>
              </w:rPr>
              <w:t xml:space="preserve"> (</w:t>
            </w:r>
            <w:r>
              <w:rPr>
                <w:rFonts w:ascii="Times New Roman" w:hAnsi="Times New Roman" w:cs="Times New Roman"/>
                <w:sz w:val="28"/>
                <w:szCs w:val="28"/>
              </w:rPr>
              <w:t>играми, работой над проектами)</w:t>
            </w:r>
            <w:r w:rsidRPr="003565FC">
              <w:rPr>
                <w:rFonts w:ascii="Times New Roman" w:hAnsi="Times New Roman" w:cs="Times New Roman"/>
                <w:sz w:val="28"/>
                <w:szCs w:val="28"/>
              </w:rPr>
              <w:t>.</w:t>
            </w:r>
          </w:p>
          <w:p w:rsidR="003565FC" w:rsidRPr="00691394"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 xml:space="preserve">Другая важная причина интеграции ИКТ - признание того, что она более соответствует представлению о средствах ИКТ как инструментах. Инструменты разработаны для того, чтобы при необходимости их применяли в определенных целях; обычно эти </w:t>
            </w:r>
            <w:r w:rsidRPr="00691394">
              <w:rPr>
                <w:rFonts w:ascii="Times New Roman" w:hAnsi="Times New Roman" w:cs="Times New Roman"/>
                <w:sz w:val="28"/>
                <w:szCs w:val="28"/>
              </w:rPr>
              <w:lastRenderedPageBreak/>
              <w:t xml:space="preserve">инструменты не предназначены для их постоянного использования ради самих инструментов, вне конкретных внешних задач. Также неприемлемой является распространенная практика предоставления доступа </w:t>
            </w:r>
            <w:proofErr w:type="gramStart"/>
            <w:r w:rsidRPr="00691394">
              <w:rPr>
                <w:rFonts w:ascii="Times New Roman" w:hAnsi="Times New Roman" w:cs="Times New Roman"/>
                <w:sz w:val="28"/>
                <w:szCs w:val="28"/>
              </w:rPr>
              <w:t>к</w:t>
            </w:r>
            <w:proofErr w:type="gramEnd"/>
            <w:r w:rsidRPr="00691394">
              <w:rPr>
                <w:rFonts w:ascii="Times New Roman" w:hAnsi="Times New Roman" w:cs="Times New Roman"/>
                <w:sz w:val="28"/>
                <w:szCs w:val="28"/>
              </w:rPr>
              <w:t xml:space="preserve"> ИКТ как вознаграждения.</w:t>
            </w:r>
          </w:p>
        </w:tc>
      </w:tr>
      <w:tr w:rsidR="003565FC" w:rsidRPr="00691394" w:rsidTr="00BA2F2B">
        <w:tc>
          <w:tcPr>
            <w:tcW w:w="2755" w:type="dxa"/>
          </w:tcPr>
          <w:p w:rsidR="003565FC" w:rsidRPr="00691394" w:rsidRDefault="003565FC" w:rsidP="003565FC">
            <w:pPr>
              <w:numPr>
                <w:ilvl w:val="0"/>
                <w:numId w:val="1"/>
              </w:numPr>
              <w:spacing w:after="0" w:line="360" w:lineRule="auto"/>
              <w:ind w:left="306"/>
              <w:contextualSpacing/>
              <w:rPr>
                <w:rFonts w:ascii="Times New Roman" w:hAnsi="Times New Roman" w:cs="Times New Roman"/>
                <w:sz w:val="28"/>
                <w:szCs w:val="28"/>
              </w:rPr>
            </w:pPr>
            <w:r w:rsidRPr="00691394">
              <w:rPr>
                <w:rFonts w:ascii="Times New Roman" w:hAnsi="Times New Roman" w:cs="Times New Roman"/>
                <w:sz w:val="28"/>
                <w:szCs w:val="28"/>
              </w:rPr>
              <w:lastRenderedPageBreak/>
              <w:t>Инструменты ИКТ должны поддерживать игру</w:t>
            </w:r>
          </w:p>
        </w:tc>
        <w:tc>
          <w:tcPr>
            <w:tcW w:w="6737" w:type="dxa"/>
          </w:tcPr>
          <w:p w:rsidR="003565FC" w:rsidRPr="00691394"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Игру считают «ведущей деятельностью» детей раннего возраста, и очень многие рассматривают ее как движущую силу развития новых форм мотивации и действий у детей. Игра и имитация — главные контексты репрезентативного и символического поведения. Следовательно, ролевые игры имеют центральное значение в процессах раннего обучения. Артефакты (такие как игрушки и другие реально или мнимо функциональные предметы) важны, поскольку являются символами для играющих с ними детей. Цифровые инструменты также обеспечивают средства, благодаря которым дети могут включаться в занятия и взаимодействовать с гораздо более широким кругом «виртуальных» артефактов и контекстов, чем было бы возможно без этих приложений.</w:t>
            </w:r>
          </w:p>
        </w:tc>
      </w:tr>
      <w:tr w:rsidR="003565FC" w:rsidRPr="00691394" w:rsidTr="00BA2F2B">
        <w:tc>
          <w:tcPr>
            <w:tcW w:w="2755" w:type="dxa"/>
          </w:tcPr>
          <w:p w:rsidR="003565FC" w:rsidRPr="00691394" w:rsidRDefault="003565FC" w:rsidP="003565FC">
            <w:pPr>
              <w:numPr>
                <w:ilvl w:val="0"/>
                <w:numId w:val="1"/>
              </w:numPr>
              <w:spacing w:after="0" w:line="360" w:lineRule="auto"/>
              <w:ind w:left="306"/>
              <w:contextualSpacing/>
              <w:rPr>
                <w:rFonts w:ascii="Times New Roman" w:hAnsi="Times New Roman" w:cs="Times New Roman"/>
                <w:sz w:val="28"/>
                <w:szCs w:val="28"/>
              </w:rPr>
            </w:pPr>
            <w:r w:rsidRPr="00691394">
              <w:rPr>
                <w:rFonts w:ascii="Times New Roman" w:hAnsi="Times New Roman" w:cs="Times New Roman"/>
                <w:sz w:val="28"/>
                <w:szCs w:val="28"/>
              </w:rPr>
              <w:t xml:space="preserve">Инструменты ИКТ должны исключать </w:t>
            </w:r>
            <w:proofErr w:type="gramStart"/>
            <w:r w:rsidRPr="00691394">
              <w:rPr>
                <w:rFonts w:ascii="Times New Roman" w:hAnsi="Times New Roman" w:cs="Times New Roman"/>
                <w:sz w:val="28"/>
                <w:szCs w:val="28"/>
              </w:rPr>
              <w:t>контроль за</w:t>
            </w:r>
            <w:proofErr w:type="gramEnd"/>
            <w:r w:rsidRPr="00691394">
              <w:rPr>
                <w:rFonts w:ascii="Times New Roman" w:hAnsi="Times New Roman" w:cs="Times New Roman"/>
                <w:sz w:val="28"/>
                <w:szCs w:val="28"/>
              </w:rPr>
              <w:t xml:space="preserve"> ребенком</w:t>
            </w:r>
          </w:p>
        </w:tc>
        <w:tc>
          <w:tcPr>
            <w:tcW w:w="6737" w:type="dxa"/>
          </w:tcPr>
          <w:p w:rsidR="003565FC" w:rsidRPr="00691394"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 xml:space="preserve">В целом ребенок должен управлять инструментами; инструменты не должны управлять действиями ребенка через программируемое обучение или через любой другой поведенческий алгоритм. Хотя есть данные, свидетельствующие о том, что тренажеры могут быть эффективными в развитии ряда навыков, включая запоминание алфавита и правописания, умение считать и вычислять, такой подход </w:t>
            </w:r>
            <w:r w:rsidRPr="00691394">
              <w:rPr>
                <w:rFonts w:ascii="Times New Roman" w:hAnsi="Times New Roman" w:cs="Times New Roman"/>
                <w:sz w:val="28"/>
                <w:szCs w:val="28"/>
              </w:rPr>
              <w:lastRenderedPageBreak/>
              <w:t>противоречит распространенным представлениям о хорошей системе обучения.</w:t>
            </w:r>
          </w:p>
        </w:tc>
      </w:tr>
      <w:tr w:rsidR="003565FC" w:rsidRPr="00691394" w:rsidTr="00BA2F2B">
        <w:tc>
          <w:tcPr>
            <w:tcW w:w="2755" w:type="dxa"/>
          </w:tcPr>
          <w:p w:rsidR="003565FC" w:rsidRPr="00691394" w:rsidRDefault="003565FC" w:rsidP="003565FC">
            <w:pPr>
              <w:numPr>
                <w:ilvl w:val="0"/>
                <w:numId w:val="1"/>
              </w:numPr>
              <w:spacing w:after="0" w:line="360" w:lineRule="auto"/>
              <w:ind w:left="306"/>
              <w:contextualSpacing/>
              <w:rPr>
                <w:rFonts w:ascii="Times New Roman" w:hAnsi="Times New Roman" w:cs="Times New Roman"/>
                <w:sz w:val="28"/>
                <w:szCs w:val="28"/>
              </w:rPr>
            </w:pPr>
            <w:r w:rsidRPr="00691394">
              <w:rPr>
                <w:rFonts w:ascii="Times New Roman" w:hAnsi="Times New Roman" w:cs="Times New Roman"/>
                <w:sz w:val="28"/>
                <w:szCs w:val="28"/>
              </w:rPr>
              <w:lastRenderedPageBreak/>
              <w:t>Инструменты ИКТ должны быть прозрачны и наглядны</w:t>
            </w:r>
          </w:p>
        </w:tc>
        <w:tc>
          <w:tcPr>
            <w:tcW w:w="6737" w:type="dxa"/>
          </w:tcPr>
          <w:p w:rsidR="003565FC" w:rsidRPr="00691394"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 xml:space="preserve">Насколько </w:t>
            </w:r>
            <w:proofErr w:type="gramStart"/>
            <w:r w:rsidRPr="00691394">
              <w:rPr>
                <w:rFonts w:ascii="Times New Roman" w:hAnsi="Times New Roman" w:cs="Times New Roman"/>
                <w:sz w:val="28"/>
                <w:szCs w:val="28"/>
              </w:rPr>
              <w:t>это</w:t>
            </w:r>
            <w:proofErr w:type="gramEnd"/>
            <w:r w:rsidRPr="00691394">
              <w:rPr>
                <w:rFonts w:ascii="Times New Roman" w:hAnsi="Times New Roman" w:cs="Times New Roman"/>
                <w:sz w:val="28"/>
                <w:szCs w:val="28"/>
              </w:rPr>
              <w:t xml:space="preserve"> возможно, следует отдавать предпочтение «прозрачным» инструментам — их функции должны быть четко определены и наглядны. Смысл, который мы вкладываем в эти слова, на практике означает, что инструмент выполняет любую четко определенную задачу за одну операцию. Хорошим примером этого является функция перемещения объекта на экране путем «перетаскивания».</w:t>
            </w:r>
          </w:p>
        </w:tc>
      </w:tr>
      <w:tr w:rsidR="003565FC" w:rsidRPr="00691394" w:rsidTr="00BA2F2B">
        <w:tc>
          <w:tcPr>
            <w:tcW w:w="2755" w:type="dxa"/>
          </w:tcPr>
          <w:p w:rsidR="003565FC" w:rsidRPr="00691394" w:rsidRDefault="003565FC" w:rsidP="003565FC">
            <w:pPr>
              <w:numPr>
                <w:ilvl w:val="0"/>
                <w:numId w:val="1"/>
              </w:numPr>
              <w:spacing w:after="0" w:line="360" w:lineRule="auto"/>
              <w:ind w:left="306"/>
              <w:contextualSpacing/>
              <w:rPr>
                <w:rFonts w:ascii="Times New Roman" w:hAnsi="Times New Roman" w:cs="Times New Roman"/>
                <w:sz w:val="28"/>
                <w:szCs w:val="28"/>
              </w:rPr>
            </w:pPr>
            <w:r w:rsidRPr="00691394">
              <w:rPr>
                <w:rFonts w:ascii="Times New Roman" w:hAnsi="Times New Roman" w:cs="Times New Roman"/>
                <w:sz w:val="28"/>
                <w:szCs w:val="28"/>
              </w:rPr>
              <w:t>Инструменты ИКТ должны исключать сцены насилия и навязывание стереотипов</w:t>
            </w:r>
          </w:p>
        </w:tc>
        <w:tc>
          <w:tcPr>
            <w:tcW w:w="6737" w:type="dxa"/>
          </w:tcPr>
          <w:p w:rsidR="003565FC" w:rsidRPr="00691394"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Если приложения не соответствуют данному критерию, трудно оправдать их использование в каком бы то ни было обучающем контексте.</w:t>
            </w:r>
          </w:p>
        </w:tc>
      </w:tr>
      <w:tr w:rsidR="003565FC" w:rsidRPr="00691394" w:rsidTr="00BA2F2B">
        <w:tc>
          <w:tcPr>
            <w:tcW w:w="2755" w:type="dxa"/>
          </w:tcPr>
          <w:p w:rsidR="003565FC" w:rsidRPr="00691394" w:rsidRDefault="003565FC" w:rsidP="003565FC">
            <w:pPr>
              <w:numPr>
                <w:ilvl w:val="0"/>
                <w:numId w:val="1"/>
              </w:numPr>
              <w:spacing w:after="0" w:line="360" w:lineRule="auto"/>
              <w:ind w:left="306"/>
              <w:contextualSpacing/>
              <w:rPr>
                <w:rFonts w:ascii="Times New Roman" w:hAnsi="Times New Roman" w:cs="Times New Roman"/>
                <w:sz w:val="28"/>
                <w:szCs w:val="28"/>
              </w:rPr>
            </w:pPr>
            <w:r w:rsidRPr="00691394">
              <w:rPr>
                <w:rFonts w:ascii="Times New Roman" w:hAnsi="Times New Roman" w:cs="Times New Roman"/>
                <w:sz w:val="28"/>
                <w:szCs w:val="28"/>
              </w:rPr>
              <w:t>Интеграция ИКТ должна способствовать осознанию вопросов здоровья и безопасности</w:t>
            </w:r>
          </w:p>
        </w:tc>
        <w:tc>
          <w:tcPr>
            <w:tcW w:w="6737" w:type="dxa"/>
          </w:tcPr>
          <w:p w:rsidR="003565FC" w:rsidRPr="00691394"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 xml:space="preserve">В тех случаях, когда ИКТ интегрированы с другими видами деятельности, например, с социально-драматическими играми, моделированием, рисованием и т.д., дети извлекают пользу из более энергичного движения и более интенсивных упражнений без компьютера. Создатели DATEC утверждают, что время, проведенное ребенком за компьютером, должно быть сравнительно непродолжительным. Для трехлетних детей этот период обычно не должен превышать 10–20 минут за один подход. DATEC предполагает, что к 8 годам этот период может увеличиться максимум до 40 </w:t>
            </w:r>
            <w:r w:rsidRPr="00691394">
              <w:rPr>
                <w:rFonts w:ascii="Times New Roman" w:hAnsi="Times New Roman" w:cs="Times New Roman"/>
                <w:sz w:val="28"/>
                <w:szCs w:val="28"/>
              </w:rPr>
              <w:lastRenderedPageBreak/>
              <w:t>минут.</w:t>
            </w:r>
          </w:p>
        </w:tc>
      </w:tr>
      <w:tr w:rsidR="003565FC" w:rsidRPr="00691394" w:rsidTr="00BA2F2B">
        <w:tc>
          <w:tcPr>
            <w:tcW w:w="2755" w:type="dxa"/>
          </w:tcPr>
          <w:p w:rsidR="003565FC" w:rsidRPr="00691394" w:rsidRDefault="003565FC" w:rsidP="003565FC">
            <w:pPr>
              <w:numPr>
                <w:ilvl w:val="0"/>
                <w:numId w:val="1"/>
              </w:numPr>
              <w:spacing w:after="0" w:line="360" w:lineRule="auto"/>
              <w:ind w:left="306"/>
              <w:contextualSpacing/>
              <w:rPr>
                <w:rFonts w:ascii="Times New Roman" w:hAnsi="Times New Roman" w:cs="Times New Roman"/>
                <w:sz w:val="28"/>
                <w:szCs w:val="28"/>
              </w:rPr>
            </w:pPr>
            <w:r w:rsidRPr="00691394">
              <w:rPr>
                <w:rFonts w:ascii="Times New Roman" w:hAnsi="Times New Roman" w:cs="Times New Roman"/>
                <w:sz w:val="28"/>
                <w:szCs w:val="28"/>
              </w:rPr>
              <w:lastRenderedPageBreak/>
              <w:t xml:space="preserve">Интеграция ИКТ должна способствовать вовлечению родителей </w:t>
            </w:r>
            <w:proofErr w:type="gramStart"/>
            <w:r w:rsidRPr="00691394">
              <w:rPr>
                <w:rFonts w:ascii="Times New Roman" w:hAnsi="Times New Roman" w:cs="Times New Roman"/>
                <w:sz w:val="28"/>
                <w:szCs w:val="28"/>
              </w:rPr>
              <w:t>в</w:t>
            </w:r>
            <w:proofErr w:type="gramEnd"/>
            <w:r w:rsidRPr="00691394">
              <w:rPr>
                <w:rFonts w:ascii="Times New Roman" w:hAnsi="Times New Roman" w:cs="Times New Roman"/>
                <w:sz w:val="28"/>
                <w:szCs w:val="28"/>
              </w:rPr>
              <w:t xml:space="preserve"> ДО</w:t>
            </w:r>
          </w:p>
        </w:tc>
        <w:tc>
          <w:tcPr>
            <w:tcW w:w="6737" w:type="dxa"/>
          </w:tcPr>
          <w:p w:rsidR="003565FC" w:rsidRPr="00691394" w:rsidRDefault="003565FC" w:rsidP="00BA2F2B">
            <w:pPr>
              <w:spacing w:line="360" w:lineRule="auto"/>
              <w:jc w:val="both"/>
              <w:rPr>
                <w:rFonts w:ascii="Times New Roman" w:hAnsi="Times New Roman" w:cs="Times New Roman"/>
                <w:sz w:val="28"/>
                <w:szCs w:val="28"/>
              </w:rPr>
            </w:pPr>
            <w:r w:rsidRPr="00691394">
              <w:rPr>
                <w:rFonts w:ascii="Times New Roman" w:hAnsi="Times New Roman" w:cs="Times New Roman"/>
                <w:sz w:val="28"/>
                <w:szCs w:val="28"/>
              </w:rPr>
              <w:t>Исследования показали, что, когда родители, преподаватели и дети сотрудничают в достижении каких-то целей, эффективность обучения возрастает. ДОО сообщают, что в таких случаях дети проявляют более позитивное отношение к учебе и лучше себя ведут. Связь между образовательным учреждением и домашней средой ребенка или вовлечение родителей в образовательный процесс является, таким образом, той составляющей эффективных ДОО, которая заслуживает особого внимания.</w:t>
            </w:r>
          </w:p>
        </w:tc>
      </w:tr>
    </w:tbl>
    <w:p w:rsidR="00295B7B" w:rsidRDefault="00295B7B"/>
    <w:sectPr w:rsidR="00295B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52E21"/>
    <w:multiLevelType w:val="hybridMultilevel"/>
    <w:tmpl w:val="D632E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88687C"/>
    <w:multiLevelType w:val="hybridMultilevel"/>
    <w:tmpl w:val="894A7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5FC"/>
    <w:rsid w:val="00295B7B"/>
    <w:rsid w:val="00356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65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5FC"/>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3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3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565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687</Words>
  <Characters>3921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2018-05-07T13:27:00Z</dcterms:created>
  <dcterms:modified xsi:type="dcterms:W3CDTF">2018-05-07T13:30:00Z</dcterms:modified>
</cp:coreProperties>
</file>